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402"/>
        <w:gridCol w:w="222"/>
        <w:gridCol w:w="1365"/>
        <w:gridCol w:w="2729"/>
      </w:tblGrid>
      <w:tr w:rsidR="00A620E0">
        <w:trPr>
          <w:trHeight w:val="27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2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</w:tr>
      <w:tr w:rsidR="00A620E0">
        <w:trPr>
          <w:trHeight w:val="25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A620E0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0"/>
              </w:rPr>
            </w:pPr>
          </w:p>
        </w:tc>
        <w:tc>
          <w:tcPr>
            <w:tcW w:w="15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0503760</w:t>
            </w:r>
          </w:p>
        </w:tc>
      </w:tr>
      <w:tr w:rsidR="00A620E0">
        <w:trPr>
          <w:trHeight w:val="320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2025 г.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Дата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01.01.2025</w:t>
            </w:r>
          </w:p>
        </w:tc>
      </w:tr>
      <w:tr w:rsidR="00A620E0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ГОСУДАРСТВЕННОЕ БЮДЖЕТНОЕ ОБРАЗОВАТЕЛЬНОЕ УЧРЕЖДЕНИЕ ПРОФЕССИОНАЛЬНОГО ОБРАЗОВАНИЯ "ПЕНЗЕНСКИЙ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ОБЛАСТНОЙ МЕДИЦИНСКИЙ КОЛЛЕДЖ"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 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01965099</w:t>
            </w:r>
          </w:p>
        </w:tc>
      </w:tr>
      <w:tr w:rsidR="00A620E0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Обособленное подразделение 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МИНИСТЕРСТВО ЗДРАВООХРАНЕНИЯ ПЕНЗЕНСКОЙ ОБЛАСТИ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0"/>
              </w:rPr>
            </w:pPr>
          </w:p>
        </w:tc>
      </w:tr>
      <w:tr w:rsidR="00A620E0">
        <w:trPr>
          <w:trHeight w:val="4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Учредитель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56000000</w:t>
            </w:r>
          </w:p>
        </w:tc>
      </w:tr>
      <w:tr w:rsidR="00A620E0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органа,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0"/>
              </w:rPr>
            </w:pPr>
          </w:p>
        </w:tc>
      </w:tr>
      <w:tr w:rsidR="00A620E0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осуществляющего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01965099</w:t>
            </w:r>
          </w:p>
        </w:tc>
      </w:tr>
      <w:tr w:rsidR="00A620E0">
        <w:trPr>
          <w:trHeight w:val="320"/>
        </w:trPr>
        <w:tc>
          <w:tcPr>
            <w:tcW w:w="5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полномочия учредителя   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по БК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855</w:t>
            </w:r>
          </w:p>
        </w:tc>
      </w:tr>
      <w:tr w:rsidR="00A620E0">
        <w:trPr>
          <w:trHeight w:val="282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Периодичность:    квартальная, годовая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20E0">
        <w:trPr>
          <w:trHeight w:val="3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Балансу по форме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0503730</w:t>
            </w:r>
          </w:p>
        </w:tc>
      </w:tr>
      <w:tr w:rsidR="00A620E0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   по ОКЕИ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A620E0">
        <w:trPr>
          <w:trHeight w:val="282"/>
        </w:trPr>
        <w:tc>
          <w:tcPr>
            <w:tcW w:w="971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Раздел 1 «Организационная структура учреждения»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184"/>
        <w:gridCol w:w="5180"/>
      </w:tblGrid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Перечень видов осуществляемой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деятельности в соответствии с ОКВЭД 2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85.21 Образование профессиональное среднее</w:t>
            </w:r>
          </w:p>
        </w:tc>
      </w:tr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Наименования обособленных структурных подразделений, зарегистрированных в ТО ФНС РФ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Каменский филиал Государственного бюджетного образовательного учреждения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обучения «Пензенский областной медицинский колледж»;</w:t>
            </w:r>
          </w:p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Нижнеломовский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филиал Государственного бюджетного образовательного учреждения профессионального обучения «Пензенский областной медицинский колледж»;</w:t>
            </w:r>
          </w:p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Кузнецкий филиал Государственного бюджетного 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разовательного учреждения профессионального обучения «Пензенский областной медицинский колледж»;</w:t>
            </w:r>
          </w:p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Сердобский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филиал Государственного бюджетного образовательного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профессионального обучения «Пензенский областной медицинский колледж».</w:t>
            </w:r>
          </w:p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Было ли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изменение типа учреждения в отчетном периоде?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было изменения</w:t>
            </w:r>
          </w:p>
        </w:tc>
      </w:tr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Была ли реорганизация учреждения в отчетном периоде?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Реорганизации не было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Применялось ли профессиональное суждение бухгалтера в отчетном периоде?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применялись</w:t>
            </w:r>
          </w:p>
        </w:tc>
      </w:tr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Представленные показатели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бухгалтерской отчетности за отчетный период сформированы исходя из нормативных правовых актов, регулирующих ведение бухгалтерского учета и составление бухгалтерской отчетности?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20E0"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Имеется ли информация о будущих отчетных периодах, касающаяся рисков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существенных корректировок балансовой стоимости активов и обязательств?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имеется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Раздел 2 «Результаты деятельности учреждения» </w:t>
      </w:r>
    </w:p>
    <w:p w:rsidR="00A620E0" w:rsidRDefault="00AD363A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 средней заработной плате работников 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(за исключением внешних совместителей) </w:t>
      </w:r>
    </w:p>
    <w:tbl>
      <w:tblPr>
        <w:tblW w:w="1315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17"/>
        <w:gridCol w:w="2659"/>
        <w:gridCol w:w="2659"/>
        <w:gridCol w:w="2482"/>
        <w:gridCol w:w="2738"/>
      </w:tblGrid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rPr>
          <w:trHeight w:val="10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заработная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плата работников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отчетный период,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заработная плата врачей (преподавателей) за отчетный период,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заработная плата среднего медперсонала за отчетный период,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заработная плата младшего медперсонала за отчетный период,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</w:t>
            </w:r>
            <w:proofErr w:type="spellEnd"/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заработная плата прочих сотрудников за отчетный период,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46405,82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48948,40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43593,56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Штатная численность работников </w:t>
      </w:r>
    </w:p>
    <w:tbl>
      <w:tblPr>
        <w:tblW w:w="13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490"/>
        <w:gridCol w:w="3168"/>
        <w:gridCol w:w="2530"/>
        <w:gridCol w:w="2362"/>
        <w:gridCol w:w="2530"/>
      </w:tblGrid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Штатная численность работников на отчетную дату всего, 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из гр.1 врач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 из гр.1 средний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медперсонал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 из гр.1 младший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медперсонал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 из гр.1 прочие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сотрудники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</w:p>
        </w:tc>
      </w:tr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301,5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94,5</w:t>
            </w:r>
          </w:p>
        </w:tc>
      </w:tr>
    </w:tbl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Фактическая численность работников </w:t>
      </w:r>
    </w:p>
    <w:tbl>
      <w:tblPr>
        <w:tblW w:w="13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490"/>
        <w:gridCol w:w="3168"/>
        <w:gridCol w:w="2530"/>
        <w:gridCol w:w="2362"/>
        <w:gridCol w:w="2530"/>
      </w:tblGrid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Фактическая численность работников на отчетную дату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из гр.1 врач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 из гр.1 средний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медперсонал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 из гр.1 младший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медперсонал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 из гр.1 прочие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сотрудники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</w:p>
        </w:tc>
      </w:tr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</w:tbl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об экономических санкциях, выставленных учреждению 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в отчетном периоде (подстатьи КОСГУ 292, 293,295)</w:t>
      </w:r>
    </w:p>
    <w:tbl>
      <w:tblPr>
        <w:tblW w:w="13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18"/>
        <w:gridCol w:w="2660"/>
        <w:gridCol w:w="2837"/>
        <w:gridCol w:w="4965"/>
      </w:tblGrid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санкций, выставленных учреждению в отчетном периоде,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сумма санкций, оплаченных учреждением в отчетном периоде (п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санкциям из гр.1),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Остаток неоплаченных санкций (гр.1-гр.2),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Причина неоплаты санкций</w:t>
            </w:r>
          </w:p>
        </w:tc>
      </w:tr>
      <w:tr w:rsidR="00A620E0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229,46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229,46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hanging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Информация о судебных исках, выставленных учреждением в отчетном периоде</w:t>
      </w:r>
    </w:p>
    <w:tbl>
      <w:tblPr>
        <w:tblW w:w="13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55"/>
        <w:gridCol w:w="1885"/>
        <w:gridCol w:w="2230"/>
        <w:gridCol w:w="2289"/>
        <w:gridCol w:w="2237"/>
        <w:gridCol w:w="3784"/>
      </w:tblGrid>
      <w:tr w:rsidR="00A620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620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Юридическое наименование ответчика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исполнительного документа,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сумма, оплаченная по исполнительному документу,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Остаток по иску (гр.3-гр.4),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Причины неоплаты исполнительного документа </w:t>
            </w:r>
          </w:p>
        </w:tc>
      </w:tr>
      <w:tr w:rsidR="00A620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об изменении балансовой стоимости особо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ценного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движимого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имущества, недвижимого имущества, земельных участков</w:t>
      </w:r>
    </w:p>
    <w:tbl>
      <w:tblPr>
        <w:tblW w:w="1306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70"/>
        <w:gridCol w:w="2396"/>
        <w:gridCol w:w="2235"/>
        <w:gridCol w:w="2475"/>
        <w:gridCol w:w="2889"/>
      </w:tblGrid>
      <w:tr w:rsidR="00A620E0">
        <w:trPr>
          <w:trHeight w:val="236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rPr>
          <w:trHeight w:val="1203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01.01.2024 с учетом формы 0503773,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01.01.2025,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Изменение стоимости (гр.3-гр.2), руб.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Увеличение-в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положительном значении,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уменьшение-в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отрицательном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Причины изменения с указанием групп имущества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покупка медицинского оборудования, списание изношенного хозяйственного инвентаря, изменение кадастровой стоимости земельных участков и т.п.) </w:t>
            </w:r>
          </w:p>
        </w:tc>
      </w:tr>
      <w:tr w:rsidR="00A620E0"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Балансовая стоимость  особо ценного 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(ОЦДИ), недвижимого имущества (НИ), земельных участков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104 098 553,34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100 074 122,69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-4 024 430,65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</w:p>
        </w:tc>
      </w:tr>
      <w:tr w:rsidR="00A620E0"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</w:p>
        </w:tc>
      </w:tr>
      <w:tr w:rsidR="00A620E0"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Балансовая стоимость НИ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44 774 847,89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42 484 596,33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- 2 290 251,56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Безвозмездная передача НИ. </w:t>
            </w:r>
          </w:p>
        </w:tc>
      </w:tr>
      <w:tr w:rsidR="00A620E0"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Балансовая стоимость ОЦДИ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10 656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047,89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11 101 373,52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445 325,63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Безвозмездное получение ОЦДИ.</w:t>
            </w:r>
          </w:p>
        </w:tc>
      </w:tr>
      <w:tr w:rsidR="00A620E0"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Балансовая стоимость земельных участков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48 667 657,56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46 488 152,84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-2 179 504,72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кадастровой стоимости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земельного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учаастка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136 474,28; безвозмездная передача земельного 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2 315 979,00.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620E0" w:rsidRDefault="00AD363A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об остатках на счете 0 106 11 000 </w:t>
      </w:r>
    </w:p>
    <w:p w:rsidR="00A620E0" w:rsidRDefault="00AD363A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«Вложения в основные средства - недвижимое имущество»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5861"/>
        <w:gridCol w:w="2618"/>
        <w:gridCol w:w="4014"/>
      </w:tblGrid>
      <w:tr w:rsidR="00A620E0">
        <w:trPr>
          <w:trHeight w:val="149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620E0">
        <w:trPr>
          <w:trHeight w:val="860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и фактический адрес (без указания индекса) объекта недвижимого имущества в строительство, реконструкцию, модернизацию, дооборудование, покупку которого осуществлены вложения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остатка по счету 0 106 11 000  на отчетную дату,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Причины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аличия остатка по счету с указанием предполагаемых сроков введения объекта в эксплуатацию (в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A620E0">
        <w:trPr>
          <w:trHeight w:val="282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Нежилое здание (Детский дом 3-этажн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адресу:г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Строителей,2.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10 161 629,99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государственной экспертизы и разрабо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 проектно-сметной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документации, предполагаемые сроки реконструкции объекта не  известны.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     </w:t>
      </w:r>
      <w:r>
        <w:rPr>
          <w:rFonts w:ascii="Times New Roman" w:eastAsia="Times New Roman" w:hAnsi="Times New Roman" w:cs="Times New Roman"/>
          <w:color w:val="FF0000"/>
        </w:rPr>
        <w:t xml:space="preserve">      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Сведения о сдаваемых в платную аренду объектах  НФА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49"/>
        <w:gridCol w:w="1846"/>
        <w:gridCol w:w="1938"/>
        <w:gridCol w:w="2467"/>
        <w:gridCol w:w="3525"/>
      </w:tblGrid>
      <w:tr w:rsidR="00A620E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нефинансовых активов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в квадратных метрах (для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недвижимого 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завершения аренды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заключенного договора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сумма положенных к уплате арендных платежей по состоянию на отчетную дату, руб.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Юридическое наименование арендатора </w:t>
            </w:r>
          </w:p>
        </w:tc>
      </w:tr>
      <w:tr w:rsidR="00A620E0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31.03.2025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5 263,44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альный предприниматель Кузнецова Ольга Евгеньевна</w:t>
            </w:r>
          </w:p>
        </w:tc>
      </w:tr>
      <w:tr w:rsidR="00A620E0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Нежилое помещени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буфет)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15,3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31.03.2025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13422,12 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Кузнецова Ольга Евгеньевна</w:t>
            </w:r>
          </w:p>
        </w:tc>
      </w:tr>
    </w:tbl>
    <w:p w:rsidR="00A620E0" w:rsidRDefault="00AD363A">
      <w:pPr>
        <w:ind w:left="-2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Сведения о сдаваемых в безвозмездное пользование объектах  НФА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272"/>
        <w:gridCol w:w="1804"/>
        <w:gridCol w:w="1866"/>
        <w:gridCol w:w="2410"/>
        <w:gridCol w:w="3773"/>
      </w:tblGrid>
      <w:tr w:rsidR="00A620E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нефинансовых активов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Площадь в квадратных метрах (для недвижимого имущества)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завершения 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заключенного договора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Балансовая (учетная) стоимость переданного объекта НФА  по 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ческое наименование пользователя/ссудополучателя</w:t>
            </w:r>
          </w:p>
        </w:tc>
      </w:tr>
      <w:tr w:rsidR="00A620E0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43,6 кв.м.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1 216 645,53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здравоохранения Пензенской области «Пензенский областной медицинский информационно-аналитический центр»</w:t>
            </w:r>
          </w:p>
        </w:tc>
      </w:tr>
      <w:tr w:rsidR="00A620E0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Нежилые помещения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1879,0 кв.м.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7 277 701,29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здравоохранения «Пензенский областной центр общественного здоровья и медицинской профилактики»</w:t>
            </w:r>
          </w:p>
        </w:tc>
      </w:tr>
      <w:tr w:rsidR="00A620E0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518,1 кв.м.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2 006 693,48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бюджетное учреждение «Центр сертификации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контроля качества лекарственных средств»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lastRenderedPageBreak/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Сведения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полученных в платную аренду объектов НФА</w:t>
      </w:r>
    </w:p>
    <w:tbl>
      <w:tblPr>
        <w:tblW w:w="13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05"/>
        <w:gridCol w:w="1846"/>
        <w:gridCol w:w="1938"/>
        <w:gridCol w:w="2291"/>
        <w:gridCol w:w="3700"/>
      </w:tblGrid>
      <w:tr w:rsidR="00A620E0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нефинансовых активов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Площадь в квадратных метрах (для недвижимого 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завершения аренды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заключенного договора*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сумма положенных к уплате арендных платежей по 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Юридическое наименование арендодателя</w:t>
            </w:r>
          </w:p>
        </w:tc>
      </w:tr>
      <w:tr w:rsidR="00A620E0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Сведения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полученных в безвозмездное пользование объектов НФА</w:t>
      </w:r>
    </w:p>
    <w:tbl>
      <w:tblPr>
        <w:tblW w:w="13125" w:type="dxa"/>
        <w:tblInd w:w="-2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04"/>
        <w:gridCol w:w="2484"/>
        <w:gridCol w:w="1951"/>
        <w:gridCol w:w="1951"/>
        <w:gridCol w:w="3735"/>
      </w:tblGrid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нефинансовых активов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Площадь в квадратных метрах (для недвижимого 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завершения 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заключенного договора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Балансовая (учетная) стоимость полученного объекта НФА  по состоянию на отчетную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дату, руб.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Юридическое наименование ссудодателя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80,3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2 696 060,91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ГБУЗ «Пензенская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областноя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станция скорой медицинской помощи»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439,2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1 271 438,00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ГБУЗ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Сердобская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межрайонная больница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имени А.И. Настина»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664,2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3 349 832.21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№1 г. Нижний Ломов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770,8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31.05.2025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2 272 485.00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№1 г. Каменка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Нежилые помещения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892,84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30.06.2025 г.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19 619 289,13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№3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г. Кузнецка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288,6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5 182 994,96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ГБПОУ ПО «Кузнецкий многопрофильный колледж»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Нежилые помещения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1797,4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2 881 122,33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бюджетное учреждение здравоохранения «Пензенский областной центр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общественного здоровья и медицинской профилактики»</w:t>
            </w:r>
          </w:p>
        </w:tc>
      </w:tr>
      <w:tr w:rsidR="00A620E0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Нежилые помещения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182,9 кв.м.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19 358 100,00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детско-юношеская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спортивная школа №2 города Кузнецка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Адгама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Тагировича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Абубекерова</w:t>
            </w:r>
            <w:proofErr w:type="spellEnd"/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Сведения об объектах недвижимого имущества, по </w:t>
      </w:r>
      <w:r>
        <w:rPr>
          <w:rFonts w:ascii="Times New Roman" w:eastAsia="Times New Roman" w:hAnsi="Times New Roman" w:cs="Times New Roman"/>
          <w:color w:val="000000"/>
        </w:rPr>
        <w:t>которым на отчетную дату отсутствует государственная регистрация</w:t>
      </w:r>
    </w:p>
    <w:tbl>
      <w:tblPr>
        <w:tblW w:w="13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924"/>
        <w:gridCol w:w="1717"/>
        <w:gridCol w:w="1717"/>
        <w:gridCol w:w="1717"/>
        <w:gridCol w:w="6005"/>
      </w:tblGrid>
      <w:tr w:rsidR="00A620E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объекта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Учетная стоимость объекта,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в квадратных метрах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постановки на учет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Причины отсутствия государственной регистрации, принимаемые меры</w:t>
            </w:r>
          </w:p>
        </w:tc>
      </w:tr>
      <w:tr w:rsidR="00A620E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92D050"/>
        </w:rPr>
        <w:t>     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Информация о выявленных недостачах/хищениях/порче/фальсификации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имущества и денежных средств, в том числе фальшивых банкнот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85"/>
        <w:gridCol w:w="3385"/>
        <w:gridCol w:w="3385"/>
        <w:gridCol w:w="3385"/>
      </w:tblGrid>
      <w:tr w:rsidR="00A620E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620E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Учетное наименование утраченного/испорченного/фальсифицированного имущества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утраченного/испорченного/фальсифицированного имущества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Справедливая  стоимость утраченного/испорченного/фальсифицированного имущества, руб.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Принятые меры к возмещению утраченного/испорченного/фальсифицированного имущества</w:t>
            </w:r>
          </w:p>
        </w:tc>
      </w:tr>
      <w:tr w:rsidR="00A620E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   </w:t>
      </w:r>
    </w:p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Раздел 3 «Анализ отчета об исполнении учреждением плана его деятельности» 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Сведения о перечислении в доход бюджета денежных средств по предписаниям органов государственного внутреннего и внешнего финансового контроля</w:t>
      </w:r>
    </w:p>
    <w:tbl>
      <w:tblPr>
        <w:tblW w:w="1305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60"/>
        <w:gridCol w:w="1887"/>
        <w:gridCol w:w="2059"/>
        <w:gridCol w:w="1733"/>
        <w:gridCol w:w="3213"/>
        <w:gridCol w:w="2098"/>
      </w:tblGrid>
      <w:tr w:rsidR="00A620E0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620E0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 фактического получен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субсидии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возвращенной субсидии,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возврата субсидии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субсидии, по которому выявлено нецелевое/неправомерное использование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 контроля, выявивший нарушение</w:t>
            </w:r>
          </w:p>
        </w:tc>
      </w:tr>
      <w:tr w:rsidR="00A620E0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 </w:t>
      </w:r>
    </w:p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           </w:t>
      </w:r>
      <w:r>
        <w:rPr>
          <w:rFonts w:ascii="Times New Roman" w:eastAsia="Times New Roman" w:hAnsi="Times New Roman" w:cs="Times New Roman"/>
          <w:color w:val="000000"/>
        </w:rPr>
        <w:t>Информация о причинах исполнения кассовых расходов ниже 95 %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244"/>
        <w:gridCol w:w="2085"/>
        <w:gridCol w:w="3341"/>
        <w:gridCol w:w="5455"/>
      </w:tblGrid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Код субсидии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Исполнение кассовых расходов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отношению к ПФХД по расходам на отчетную дату, %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Подробные причины неисполнения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211З01403050104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211У01403050104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213Н01403050104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290Н01403050104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002И01403050104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выполнения в соответствии с фактическими расходами.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223Т01403050104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Уменьшение потребления энергетических ресурсов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 с безвозмездной передачей НИ.</w:t>
            </w:r>
          </w:p>
        </w:tc>
      </w:tr>
      <w:tr w:rsidR="00A620E0">
        <w:trPr>
          <w:trHeight w:val="764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223Э01403050104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потребления энергетических ресурсов в связи с безвозмездной передачей НИ.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223И01403050104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потребления коммунальных услуг в связи с безвозмездной передачей НИ.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221С01403050104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потребления услуг связи и интернета в связи с безвозмездной передачей НИ.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СМ0001403050105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заключены контракты на поставку горячего питания  студентам, родители которых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ноходятся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причине отсутствия поставщ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иков.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211У01403644705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Преподаватели находились  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больничном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 а  оплата классного руководства оплачивается за фактически отработанное время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213Н01403644705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Преподаватели находились  на больничном,  в результате, начисление страховых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взносов уменьшилось.</w:t>
            </w:r>
            <w:proofErr w:type="gramEnd"/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211У01403235705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Уменьшилось количество молодых специалистов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213Н01403235705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Уменьшилась база для начисления страховых взносов по выплате пособия молодым специалиста.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З22116404999995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Первоначальные коммерческие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предложения были на большую сумму, чем фактические.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СП8001403050105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заключены контракты на поставку горячего питания  студентам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могодетных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семей, по причине отсутствия поставщиков.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С29001403050105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rPr>
          <w:trHeight w:val="439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211У18402536305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213Н18402536305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211У19403505005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213Н19403505005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002И01604050105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нормативно-правовых документов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002И16302400306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20E0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К80016202400306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Экономия при заключении контрактов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0E0" w:rsidRDefault="00AD363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Расхождения плановых и кассовых показателей в отчетности 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с данными ПК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АЦК-Финансы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Суть расхождения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Причины расхождения</w:t>
            </w:r>
          </w:p>
        </w:tc>
      </w:tr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</w:t>
      </w:r>
    </w:p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hanging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 xml:space="preserve">  </w:t>
      </w:r>
      <w:r>
        <w:rPr>
          <w:rFonts w:ascii="Times New Roman" w:eastAsia="Times New Roman" w:hAnsi="Times New Roman" w:cs="Times New Roman"/>
          <w:color w:val="000000"/>
        </w:rPr>
        <w:t>Сведения о фактическом исполнении государственного задания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393"/>
        <w:gridCol w:w="2019"/>
        <w:gridCol w:w="2416"/>
        <w:gridCol w:w="2108"/>
        <w:gridCol w:w="1840"/>
        <w:gridCol w:w="1812"/>
        <w:gridCol w:w="1537"/>
      </w:tblGrid>
      <w:tr w:rsidR="00A620E0">
        <w:trPr>
          <w:trHeight w:val="43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               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Государственная услуга/работа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КБК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(учредителя)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Исполнение показателей на отчетную дату</w:t>
            </w:r>
          </w:p>
        </w:tc>
      </w:tr>
      <w:tr w:rsidR="00A620E0">
        <w:trPr>
          <w:trHeight w:val="13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Плановый объем государственных услуг/работ на 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Фактическое исполнение по услугам/работам на отчетную дату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 исполнения в отношении плановых показателей 2024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Причина неисполнения</w:t>
            </w:r>
          </w:p>
        </w:tc>
      </w:tr>
      <w:tr w:rsidR="00A620E0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620E0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Сестринское дело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85507040140305010611 241</w:t>
            </w:r>
          </w:p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Акушерское дело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85507040140305010611 241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85507050140305010611 241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Лечебное дело</w:t>
            </w:r>
          </w:p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85507040140305010611 241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A620E0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A620E0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</w:t>
      </w:r>
    </w:p>
    <w:p w:rsidR="00A620E0" w:rsidRDefault="00AD363A">
      <w:pPr>
        <w:ind w:hanging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                Раздел 4 «Анализ показателей отчетности учреждения»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Информация о просроченной дебиторской задолженности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79"/>
        <w:gridCol w:w="1727"/>
        <w:gridCol w:w="1990"/>
        <w:gridCol w:w="2409"/>
        <w:gridCol w:w="2582"/>
        <w:gridCol w:w="2238"/>
      </w:tblGrid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Источник финансового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 просроченной кредиторской задолженности 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79"/>
        <w:gridCol w:w="1727"/>
        <w:gridCol w:w="1990"/>
        <w:gridCol w:w="2409"/>
        <w:gridCol w:w="2582"/>
        <w:gridCol w:w="2238"/>
      </w:tblGrid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Месяц и год образования задолженности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Информация о кредиторской задолженности по доходам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(счета 205 35, 205 70, 209 34, 209 40, 209 70)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31"/>
        <w:gridCol w:w="1977"/>
        <w:gridCol w:w="1947"/>
        <w:gridCol w:w="2356"/>
        <w:gridCol w:w="2525"/>
        <w:gridCol w:w="2189"/>
      </w:tblGrid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Источник финансового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Счет бухгалтерского учета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A620E0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left="-2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B050"/>
        </w:rPr>
        <w:t xml:space="preserve">  </w:t>
      </w:r>
    </w:p>
    <w:p w:rsidR="00A620E0" w:rsidRDefault="00AD363A">
      <w:pPr>
        <w:ind w:left="-2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B050"/>
        </w:rPr>
        <w:t> </w:t>
      </w:r>
    </w:p>
    <w:p w:rsidR="00A620E0" w:rsidRDefault="00AD363A">
      <w:pPr>
        <w:ind w:left="-28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B050"/>
        </w:rPr>
        <w:t> </w:t>
      </w:r>
      <w:r>
        <w:rPr>
          <w:rFonts w:ascii="Times New Roman" w:eastAsia="Times New Roman" w:hAnsi="Times New Roman" w:cs="Times New Roman"/>
          <w:color w:val="000000"/>
        </w:rPr>
        <w:t>Причины образования остатков денежных средств на лицевых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85"/>
        <w:gridCol w:w="3063"/>
        <w:gridCol w:w="3204"/>
        <w:gridCol w:w="4454"/>
      </w:tblGrid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Номер лицевого счета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остатка на отчетную дату,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уб.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Причины образования остатка</w:t>
            </w:r>
          </w:p>
        </w:tc>
      </w:tr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855.01.050.3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3661,3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Экономия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я оплаты заработной платы, налогов, материальных ценностей, и прочих услуг в 2025 году.</w:t>
            </w:r>
          </w:p>
        </w:tc>
      </w:tr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855.01.050.3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1596,1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контрактов</w:t>
            </w:r>
          </w:p>
        </w:tc>
      </w:tr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855.01.050.3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4237,2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Данный остаток сложился по КОСГУ 223 в связи с передачей объектов недвижимого имущества. </w:t>
            </w:r>
          </w:p>
        </w:tc>
      </w:tr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855.01.050.6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44,3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Преподаватели находились  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больничном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 а  оплата классного руководства оплачивается за фактически отработанное время</w:t>
            </w:r>
          </w:p>
        </w:tc>
      </w:tr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855.01.050.9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909,9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Преподаватели находились  на больничном,  а  оплата классного руководства оплачивается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фактисески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отработанное время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 студентов ухудшилась успеваемость.</w:t>
            </w:r>
          </w:p>
        </w:tc>
      </w:tr>
      <w:tr w:rsidR="00A620E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855.01.050.9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1808,4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Экономия по заключенным контрактам.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Информация о завершении расчетов по</w:t>
      </w:r>
      <w:r>
        <w:rPr>
          <w:rFonts w:ascii="Times New Roman" w:eastAsia="Times New Roman" w:hAnsi="Times New Roman" w:cs="Times New Roman"/>
          <w:color w:val="000000"/>
        </w:rPr>
        <w:t xml:space="preserve"> временному привлечению денежных средств между источниками финансового обеспечения, осуществляемых в пределах остатка средств на лицевом счете (между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квфо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2, 3 и 4)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169"/>
        <w:gridCol w:w="3584"/>
        <w:gridCol w:w="3169"/>
        <w:gridCol w:w="3584"/>
      </w:tblGrid>
      <w:tr w:rsidR="00A620E0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620E0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заимствования,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уб</w:t>
            </w:r>
            <w:proofErr w:type="spellEnd"/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Пояснение причин заимствования 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между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которыми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осуществлялось заимствование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заимствования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завершения заимствования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</w:tr>
      <w:tr w:rsidR="00A620E0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Расшифровка показателей доходов будущих периодов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39"/>
        <w:gridCol w:w="1784"/>
        <w:gridCol w:w="2260"/>
        <w:gridCol w:w="2007"/>
        <w:gridCol w:w="6035"/>
      </w:tblGrid>
      <w:tr w:rsidR="00A620E0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Счет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бухгалтерского учета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на отчетную дату, руб.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Причина образования</w:t>
            </w:r>
          </w:p>
        </w:tc>
      </w:tr>
      <w:tr w:rsidR="00A620E0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401 49 131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13 602 684,00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Договора на платное обучение 2025-2027г.г.</w:t>
            </w:r>
          </w:p>
        </w:tc>
      </w:tr>
      <w:tr w:rsidR="00A620E0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401 49 186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6 089 089,28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безвозмездного пользования</w:t>
            </w:r>
          </w:p>
        </w:tc>
      </w:tr>
    </w:tbl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Расшифровка показателей расходов будущих </w:t>
      </w:r>
      <w:r>
        <w:rPr>
          <w:rFonts w:ascii="Times New Roman" w:eastAsia="Times New Roman" w:hAnsi="Times New Roman" w:cs="Times New Roman"/>
          <w:color w:val="000000"/>
        </w:rPr>
        <w:t>периодов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30"/>
        <w:gridCol w:w="1770"/>
        <w:gridCol w:w="2246"/>
        <w:gridCol w:w="1764"/>
        <w:gridCol w:w="6315"/>
      </w:tblGrid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Источник финансового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Счет бухгалтерского учета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на отчетную дату, руб.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Причина образования</w:t>
            </w:r>
          </w:p>
        </w:tc>
      </w:tr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401 50 226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68 682,80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«Издательство ЛАНЬ»  доступ к электронной библиотеке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401 50 226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69 663,98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"ЭБС Лань" доступ к коллекции "Общеобразовательные дисциплин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для СПО)"</w:t>
            </w:r>
          </w:p>
        </w:tc>
      </w:tr>
      <w:tr w:rsidR="00A620E0" w:rsidRPr="00AD363A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401 50 226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10 111,20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Pr="00AD363A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</w:t>
            </w:r>
            <w:r w:rsidRPr="00AD363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Финтек</w:t>
            </w:r>
            <w:proofErr w:type="spellEnd"/>
            <w:r w:rsidRPr="00AD363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антивирус</w:t>
            </w:r>
            <w:r w:rsidRPr="00AD363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Dr. Web Desktop Security Suite</w:t>
            </w:r>
          </w:p>
        </w:tc>
      </w:tr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401 50 226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583,33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"НТЦ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АРМ-Регистор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" лицензия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для заполнения бланков КТ-ПРОФ..</w:t>
            </w:r>
          </w:p>
        </w:tc>
      </w:tr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401 50 226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680,49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"Программный центр" польз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рава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"Диплом-стандарт"</w:t>
            </w:r>
          </w:p>
        </w:tc>
      </w:tr>
    </w:tbl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Расшифровка показателей резервов предстоящих расходов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30"/>
        <w:gridCol w:w="1770"/>
        <w:gridCol w:w="2246"/>
        <w:gridCol w:w="1764"/>
        <w:gridCol w:w="6315"/>
      </w:tblGrid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rPr>
          <w:trHeight w:val="98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Счет бухгалтерского учета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на отчетную дату, руб.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Причина образования</w:t>
            </w:r>
          </w:p>
        </w:tc>
      </w:tr>
      <w:tr w:rsidR="00A620E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Перечень событий после отчетной даты</w:t>
      </w:r>
    </w:p>
    <w:tbl>
      <w:tblPr>
        <w:tblW w:w="131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205"/>
        <w:gridCol w:w="2481"/>
        <w:gridCol w:w="2189"/>
        <w:gridCol w:w="2235"/>
      </w:tblGrid>
      <w:tr w:rsidR="00A620E0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620E0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события после отчетной даты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Месяц начала события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Месяц окончания события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события, отраженная в годовой отчетности,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</w:tr>
      <w:tr w:rsidR="00A620E0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Сведения о неисполненных судебных решениях 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в части подстатей КОСГУ 296 и 297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1787"/>
        <w:gridCol w:w="2031"/>
        <w:gridCol w:w="2113"/>
        <w:gridCol w:w="2162"/>
        <w:gridCol w:w="3042"/>
      </w:tblGrid>
      <w:tr w:rsidR="00A620E0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620E0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Подстатья КОСГУ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Юридическое наименование истца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неисполнения на отчетную дату, руб.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Правовое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основание образования задолженности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Причина неисполнения исполнительного документа</w:t>
            </w:r>
          </w:p>
        </w:tc>
      </w:tr>
      <w:tr w:rsidR="00A620E0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Информация о стоимости чистых активов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551"/>
        <w:gridCol w:w="10131"/>
      </w:tblGrid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Стоимость чистых активов на отчетную дату, руб.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Порядок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красчета</w:t>
            </w:r>
            <w:proofErr w:type="spellEnd"/>
          </w:p>
        </w:tc>
      </w:tr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7 761 419,78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tbl>
            <w:tblPr>
              <w:tblW w:w="9915" w:type="dxa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715"/>
              <w:gridCol w:w="301"/>
              <w:gridCol w:w="3355"/>
              <w:gridCol w:w="572"/>
              <w:gridCol w:w="3972"/>
            </w:tblGrid>
            <w:tr w:rsidR="00A620E0"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bookmarkStart w:id="0" w:name="_dx_frag_StartFragment"/>
                  <w:bookmarkEnd w:id="0"/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bookmarkStart w:id="1" w:name="p_29"/>
                  <w:bookmarkEnd w:id="1"/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Активы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bookmarkStart w:id="2" w:name="p_30"/>
                  <w:bookmarkEnd w:id="2"/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Обязательства</w:t>
                  </w:r>
                </w:p>
              </w:tc>
            </w:tr>
            <w:tr w:rsidR="00A620E0"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bookmarkStart w:id="3" w:name="p_31"/>
                  <w:bookmarkEnd w:id="3"/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Чистые активы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bookmarkStart w:id="4" w:name="p_32"/>
                  <w:bookmarkEnd w:id="4"/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2676" w:type="dxa"/>
                  <w:vMerge w:val="restart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620E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hyperlink r:id="rId4" w:anchor="/document/12184447/entry/3730350">
                    <w:r w:rsidR="00AD363A">
                      <w:rPr>
                        <w:rStyle w:val="a3"/>
                        <w:rFonts w:ascii="Microsoft Sans Serif" w:eastAsia="Microsoft Sans Serif" w:hAnsi="Microsoft Sans Serif" w:cs="Microsoft Sans Serif"/>
                        <w:color w:val="000000"/>
                        <w:sz w:val="18"/>
                        <w:szCs w:val="18"/>
                        <w:u w:val="none"/>
                      </w:rPr>
                      <w:t>Строка 350</w:t>
                    </w:r>
                  </w:hyperlink>
                  <w:bookmarkStart w:id="5" w:name="p_33"/>
                  <w:bookmarkEnd w:id="5"/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Баланса (ф. 0503730) -</w:t>
                  </w:r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br/>
                    <w:t xml:space="preserve">(остаточная стоимость ОЦДИ, недвижимого имущества и </w:t>
                  </w:r>
                  <w:proofErr w:type="spellStart"/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непроизведенных</w:t>
                  </w:r>
                  <w:proofErr w:type="spellEnd"/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 xml:space="preserve"> активов)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D363A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bookmarkStart w:id="6" w:name="p_34"/>
                  <w:bookmarkEnd w:id="6"/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620E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hyperlink r:id="rId5" w:anchor="/document/12184447/entry/3730550">
                    <w:r w:rsidR="00AD363A">
                      <w:rPr>
                        <w:rStyle w:val="a3"/>
                        <w:rFonts w:ascii="Microsoft Sans Serif" w:eastAsia="Microsoft Sans Serif" w:hAnsi="Microsoft Sans Serif" w:cs="Microsoft Sans Serif"/>
                        <w:color w:val="000000"/>
                        <w:sz w:val="18"/>
                        <w:szCs w:val="18"/>
                        <w:u w:val="none"/>
                      </w:rPr>
                      <w:t>Строка 550</w:t>
                    </w:r>
                  </w:hyperlink>
                  <w:bookmarkStart w:id="7" w:name="p_35"/>
                  <w:bookmarkEnd w:id="7"/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Баланса (ф. 0503730)</w:t>
                  </w:r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br/>
                    <w:t>(итого по разделу III) -</w:t>
                  </w:r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br/>
                  </w:r>
                  <w:hyperlink r:id="rId6" w:anchor="/document/12184447/entry/3730480">
                    <w:r w:rsidR="00AD363A">
                      <w:rPr>
                        <w:rStyle w:val="a3"/>
                        <w:rFonts w:ascii="Microsoft Sans Serif" w:eastAsia="Microsoft Sans Serif" w:hAnsi="Microsoft Sans Serif" w:cs="Microsoft Sans Serif"/>
                        <w:color w:val="000000"/>
                        <w:sz w:val="18"/>
                        <w:szCs w:val="18"/>
                        <w:u w:val="none"/>
                      </w:rPr>
                      <w:t>строка 480</w:t>
                    </w:r>
                  </w:hyperlink>
                  <w:r w:rsidR="00AD363A"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Баланса (ф. 0503730)</w:t>
                  </w:r>
                </w:p>
              </w:tc>
            </w:tr>
            <w:tr w:rsidR="00A620E0"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76" w:type="dxa"/>
                  <w:vMerge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620E0">
                  <w:pPr>
                    <w:shd w:val="clear" w:color="auto" w:fill="FFFFFF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20E0" w:rsidRDefault="00AD363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FFFFFF"/>
                    </w:rPr>
                  </w:pP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20E0" w:rsidRDefault="00A620E0">
                  <w:pPr>
                    <w:shd w:val="clear" w:color="auto" w:fill="FFFFFF"/>
                    <w:rPr>
                      <w:shd w:val="clear" w:color="auto" w:fill="FFFFFF"/>
                    </w:rPr>
                  </w:pPr>
                </w:p>
              </w:tc>
            </w:tr>
          </w:tbl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bookmarkStart w:id="8" w:name="_dx_frag_EndFragment"/>
            <w:bookmarkEnd w:id="8"/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Раздел 5 «Прочие вопросы деятельности учреждения» 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Сведения о невыясненных средствах на лицевых счетах учреждения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сумма невыясненных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дств в 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азрезе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квфо</w:t>
            </w:r>
            <w:proofErr w:type="spell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неустранения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отчетную дату</w:t>
            </w:r>
          </w:p>
        </w:tc>
      </w:tr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допустимых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предупреждениях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контроле в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6"/>
        <w:gridCol w:w="7449"/>
      </w:tblGrid>
      <w:tr w:rsidR="00A620E0"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hanging="4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  Состав предупреждения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Пояснение допустимости</w:t>
            </w:r>
          </w:p>
        </w:tc>
      </w:tr>
      <w:tr w:rsidR="00A620E0"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Номер счета заполняется в гр.1 в структуре "xxxxxxxxxxx000000000" и должен иметь 20 знаков (первые 11 знаков - номер лицевого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счета, остальные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ули. ) согласно письму МФ РФ и ФК от 07.04.2017 № 02-07-07/21798, № 07-04-05/02-308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Лицевой счет учреждения открыт Министерством финансов Пензенской области, имеющий свою структуру счета и количество знаков.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20E0"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Отчет 0503769M_K ВидФинОб=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5,4</w:t>
            </w:r>
            <w:bookmarkStart w:id="9" w:name="1RU1241109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Показатели графы 5 по счету х302хх00х не равны показателю графы 6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допустимо в части операций по восстановлению кассовых расходов</w:t>
            </w:r>
            <w:bookmarkEnd w:id="9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Восстановление кассовых расходов.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20E0"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Для счета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401 4х 1хх указывается только детализированные КОСГУ, КБК должен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соответствовать маске YY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0000000000 000 (в части 04014х121, 122,123), где YYYY не равно 0000</w:t>
            </w:r>
            <w:proofErr w:type="gramEnd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0" w:name="p0"/>
            <w:bookmarkEnd w:id="10"/>
            <w:r>
              <w:rPr>
                <w:rFonts w:ascii="Times New Roman" w:eastAsia="Times New Roman" w:hAnsi="Times New Roman" w:cs="Times New Roman"/>
                <w:color w:val="000000"/>
              </w:rPr>
              <w:t>Доходы, получаемые учреждением от предоставления имущества в аренду, отражаются по подстатье 121и КВР 120 (</w:t>
            </w:r>
            <w:hyperlink r:id="rId7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u w:val="none"/>
                </w:rPr>
                <w:t>п. 9.2.1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Порядка N 209н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"Доходы от собственности" (</w:t>
            </w:r>
            <w:hyperlink r:id="rId8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u w:val="none"/>
                </w:rPr>
                <w:t>п. 12.1.2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Порядка N 85н )</w:t>
            </w:r>
          </w:p>
        </w:tc>
      </w:tr>
      <w:tr w:rsidR="00A620E0"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ф.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0503738M.Тип=Бюджетный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идФинОб=5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таблица №3 (Обязательства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след.финансовых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годов).Правило №ФК-1-12(4)_738 </w:t>
            </w:r>
            <w:bookmarkStart w:id="11" w:name="1RU1268024"/>
            <w:r>
              <w:rPr>
                <w:rFonts w:ascii="Times New Roman" w:eastAsia="Times New Roman" w:hAnsi="Times New Roman" w:cs="Times New Roman"/>
                <w:color w:val="000000"/>
              </w:rPr>
              <w:t>т3 гр4 &gt;= т3 гр6 Комментарий: Показатель принятых обязатель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евышает плановые назначения – требуется пояснение</w:t>
            </w:r>
            <w:bookmarkEnd w:id="11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внесены данные по обязательства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следующих финансовых годов в ПФХД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АЦК-финансы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Сведения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выявленных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ходе инвентаризации, но не утвержденных собственником имущества и учредителем на отчетную дату фактов обесценения активов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Имущество, по которому выявлены факты обесце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неутверждения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обесценения Министерством на отчетную дату</w:t>
            </w:r>
          </w:p>
        </w:tc>
      </w:tr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 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Сведения о событиях, указывающих на условия деятельности </w:t>
      </w:r>
    </w:p>
    <w:p w:rsidR="00A620E0" w:rsidRDefault="00AD363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(в соответствии с СГС «События после отчетной даты»). 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события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Влияние события на деятельность учреждения</w:t>
            </w:r>
          </w:p>
        </w:tc>
      </w:tr>
      <w:tr w:rsidR="00A620E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    </w:t>
      </w:r>
    </w:p>
    <w:p w:rsidR="00A620E0" w:rsidRDefault="00AD363A">
      <w:pPr>
        <w:ind w:hanging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 Перечень проведенных в отчетном периоде мероприятий, осуществленных органами государственного внутреннего и внешнего финансового контроля 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(УФК РФ, Счетная палата РФ, Счетная палата ПО, Минфин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), а также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Министерством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здравоохранения </w:t>
      </w:r>
      <w:r>
        <w:rPr>
          <w:rFonts w:ascii="Times New Roman" w:eastAsia="Times New Roman" w:hAnsi="Times New Roman" w:cs="Times New Roman"/>
          <w:color w:val="000000"/>
        </w:rPr>
        <w:t>Пензенской области и ТФОМС Пензенской области, по которым выявлены финансовые нарушения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167"/>
        <w:gridCol w:w="2462"/>
        <w:gridCol w:w="3129"/>
        <w:gridCol w:w="2982"/>
      </w:tblGrid>
      <w:tr w:rsidR="00A620E0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20E0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контрольного органа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Проверяемый период в формате </w:t>
            </w:r>
          </w:p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ггг-мм.гггг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выявленных финансовых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нарушений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уб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Краткое описание финансовых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нарушений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Принятые меры</w:t>
            </w:r>
          </w:p>
        </w:tc>
      </w:tr>
      <w:tr w:rsidR="00A620E0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Информация по объектам аренды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Ограничения, предусмотренные договорами аренды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(имущественного найма) или договорами безвозмездного пользования 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Основные принципы определения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расходов (доходов) по условным арендным платежам (как рассчитывается).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Условия продления срока пользования имуществом, условия о праве покупки (выкупа) используемого имущества (объекта учета аренды), положения о повышении арендных платежей, в том числе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цены выкупа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сверке общей суммы арендных платежей (в том числе по договорам о субаренде (поднайма) с общей суммой их дисконтированных стоимостей по группам объектов учета аренды, сформированным исходя из их сроков полезного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:д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года;от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одного года до трех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лет;свыше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трех лет (при наличии дисконта).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 итогах сверки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общей суммы арендных платежей с общей суммой их дисконтированных стоимостей с указанием причин/результатов (при наличии дисконта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left="-2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> </w:t>
      </w:r>
    </w:p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> </w:t>
      </w:r>
    </w:p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> </w:t>
      </w:r>
    </w:p>
    <w:p w:rsidR="00A620E0" w:rsidRDefault="00AD363A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по доходам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 основных видах безвозмездно полученных услуг/работ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суммах дебиторской задолженности, признанной по необменным операциям (в целом с указанием причин, 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суммах обязательств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авансовым поступлениям (в целом с указанием причин, 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об условных обязательствах и резервах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Сумма ожидаемых возмещений по встречным требованиям или требованиям к другим лицам при исполнении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соответствующего обязательства, признанных самостоятельным активом (с указанием наименования актива)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Краткое описание условных обязательств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 влияния условных обязательств на финансовые показатели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Краткое описание условных активов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влияния условных активов на финансовые показатели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             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по долгосрочным договорам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57"/>
        <w:gridCol w:w="5183"/>
      </w:tblGrid>
      <w:tr w:rsidR="00A620E0"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величина доходов от реализации по всем договорам на весь срок действия в разрезе финансовых годов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5 881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916,00 -договора на платное обучение 2025г.</w:t>
            </w:r>
          </w:p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5 229 088,00 - договора на платное обучение 2026г.</w:t>
            </w:r>
          </w:p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2 491 680,00   - договора на платное обучение 2027г.</w:t>
            </w:r>
          </w:p>
        </w:tc>
      </w:tr>
    </w:tbl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 материальных запасах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58"/>
        <w:gridCol w:w="5182"/>
      </w:tblGrid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Применяемые методы расчета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себестоимости товаров и готовой продукции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Балансовая стоимость запасов в разрезе запасов, учитываемых по нормативно-плановой стоимости (цене) для целей распоряжения (реализации) и по справедливой стоимости (при наличии)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начисления резерва под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нижение стоимости материальных запасов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Сумма  уменьшения резерва под снижение стоимости материальных запасов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Балансовая стоимость запасов, заложенных в качестве обеспечения исполнения обязательств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непроизведенных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активах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59"/>
        <w:gridCol w:w="5181"/>
      </w:tblGrid>
      <w:tr w:rsidR="00A620E0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rPr>
          <w:trHeight w:val="829"/>
        </w:trPr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Информация об объектах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непроизведенных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активов, не приносящих субъекту учета экономические выгоды, не имеющих полезного потенциала, в отношении которых в дальнейшем не предусматривается получение экономических выгод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учитывающихся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счетах Рабочего плана счетов субъекта учета, утвержденного субъектом учета в рамках его учетной политики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земельных участках, не внесенных в Единый государственный реестр недвижимости, на которые государственная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собственность разграничена, не закрепленных на праве постоянного (бессрочного) пользования за учреждением, не используемых для извлечения экономических выгод или полезного потенциала, справедливая стоимость которых не определяется и для которых ведется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балансовый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 в условной оценке: один объект - один рубль</w:t>
            </w:r>
            <w:proofErr w:type="gramEnd"/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D363A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Информация о нематериальных активах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59"/>
        <w:gridCol w:w="5181"/>
      </w:tblGrid>
      <w:tr w:rsidR="00A620E0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</w:t>
            </w:r>
          </w:p>
        </w:tc>
      </w:tr>
      <w:tr w:rsidR="00A620E0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Информация о наличии и размере ограничений прав собственности или иных предоставленных прав, стоимости объектов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нематериальных активов, которые субъект учета не вправе использовать в качестве обеспечения исполнения своих обязательств, а также перечень объектов нематериальных активов, переданных в качестве обеспечения исполнения обязательств субъекта учета, и их оста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точную стоимость на начало и конец отчетного периода</w:t>
            </w:r>
            <w:proofErr w:type="gramEnd"/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сроках полезного использования объектов нематериального актива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методах начисления амортизации объектов нематериального актива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620E0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балансовой стоимости объектов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нематериальных активов, находящихся в эксплуатации и имеющих нулевую остаточную стоимость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</w:p>
        </w:tc>
      </w:tr>
    </w:tbl>
    <w:p w:rsidR="00A620E0" w:rsidRDefault="00AD363A">
      <w:pPr>
        <w:ind w:hanging="2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lastRenderedPageBreak/>
        <w:t> </w:t>
      </w:r>
    </w:p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620E0" w:rsidRDefault="00A620E0"/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16"/>
        <w:gridCol w:w="266"/>
        <w:gridCol w:w="2554"/>
        <w:gridCol w:w="60"/>
      </w:tblGrid>
      <w:tr w:rsidR="00A620E0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20E0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20E0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Дербенев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Александр Петрович</w:t>
            </w:r>
          </w:p>
        </w:tc>
      </w:tr>
      <w:tr w:rsidR="00A620E0">
        <w:trPr>
          <w:trHeight w:val="248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A620E0">
        <w:trPr>
          <w:trHeight w:val="1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20E0">
        <w:trPr>
          <w:trHeight w:val="2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планово-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</w:tr>
      <w:tr w:rsidR="00A620E0">
        <w:trPr>
          <w:trHeight w:val="148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экономической службы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A620E0">
        <w:trPr>
          <w:trHeight w:val="80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20E0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Дубинкина Елена Валентиновна</w:t>
            </w:r>
          </w:p>
        </w:tc>
      </w:tr>
      <w:tr w:rsidR="00A620E0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A620E0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20E0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</w:tr>
    </w:tbl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49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412"/>
        <w:gridCol w:w="808"/>
        <w:gridCol w:w="2362"/>
        <w:gridCol w:w="276"/>
      </w:tblGrid>
      <w:tr w:rsidR="00A620E0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1065836024320</w:t>
            </w: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20E0">
        <w:trPr>
          <w:trHeight w:val="306"/>
        </w:trPr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ПЕНЗЕНСКОЙ ОБЛАСТИ "ПЕНЗЕНСКИЙ ОБЛАСТНОЙ МЕДИЦИНСКИЙ ИНФОРМАЦИОННО-АНАЛИТИЧЕСКИЙ ЦЕНТР" 440000, г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енза, ул. Пушкина, д.163               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5836013467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</w:tr>
      <w:tr w:rsidR="00A620E0">
        <w:trPr>
          <w:trHeight w:val="32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583601001</w:t>
            </w: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620E0">
            <w:pPr>
              <w:rPr>
                <w:sz w:val="24"/>
              </w:rPr>
            </w:pPr>
          </w:p>
        </w:tc>
      </w:tr>
      <w:tr w:rsidR="00A620E0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</w:tr>
    </w:tbl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1958"/>
        <w:gridCol w:w="189"/>
        <w:gridCol w:w="3598"/>
        <w:gridCol w:w="262"/>
        <w:gridCol w:w="2498"/>
      </w:tblGrid>
      <w:tr w:rsidR="00A620E0">
        <w:trPr>
          <w:trHeight w:val="7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620E0">
            <w:pPr>
              <w:rPr>
                <w:sz w:val="8"/>
              </w:rPr>
            </w:pP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Ашанина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Надежда Николаевна</w:t>
            </w:r>
          </w:p>
        </w:tc>
      </w:tr>
      <w:tr w:rsidR="00A620E0">
        <w:trPr>
          <w:trHeight w:val="19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(уполномоченное лицо)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E0" w:rsidRDefault="00AD363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(подпись) </w:t>
            </w: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E0" w:rsidRDefault="00AD363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1835"/>
        <w:gridCol w:w="256"/>
        <w:gridCol w:w="2911"/>
        <w:gridCol w:w="256"/>
        <w:gridCol w:w="564"/>
        <w:gridCol w:w="515"/>
        <w:gridCol w:w="489"/>
        <w:gridCol w:w="320"/>
        <w:gridCol w:w="1578"/>
      </w:tblGrid>
      <w:tr w:rsidR="00A620E0">
        <w:trPr>
          <w:trHeight w:val="80"/>
        </w:trPr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8"/>
              </w:rPr>
            </w:pPr>
          </w:p>
        </w:tc>
        <w:tc>
          <w:tcPr>
            <w:tcW w:w="1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E0" w:rsidRDefault="00A620E0">
            <w:pPr>
              <w:rPr>
                <w:sz w:val="8"/>
              </w:rPr>
            </w:pP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20E0">
        <w:trPr>
          <w:trHeight w:val="60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20E0">
        <w:trPr>
          <w:trHeight w:val="48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620E0">
            <w:pPr>
              <w:rPr>
                <w:sz w:val="24"/>
              </w:rPr>
            </w:pPr>
          </w:p>
        </w:tc>
      </w:tr>
      <w:tr w:rsidR="00A620E0">
        <w:trPr>
          <w:trHeight w:val="22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20E0" w:rsidRDefault="00A620E0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20E0" w:rsidRDefault="00AD36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20E0" w:rsidRDefault="00AD363A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(телефон,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620E0">
        <w:trPr>
          <w:trHeight w:val="74"/>
        </w:trPr>
        <w:tc>
          <w:tcPr>
            <w:tcW w:w="3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620E0">
            <w:pPr>
              <w:rPr>
                <w:sz w:val="8"/>
              </w:rPr>
            </w:pPr>
          </w:p>
        </w:tc>
      </w:tr>
      <w:tr w:rsidR="00A620E0">
        <w:tc>
          <w:tcPr>
            <w:tcW w:w="5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E0" w:rsidRDefault="00AD3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0E0" w:rsidRDefault="00A620E0"/>
        </w:tc>
      </w:tr>
      <w:tr w:rsidR="00A620E0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E0" w:rsidRDefault="00A620E0"/>
        </w:tc>
      </w:tr>
    </w:tbl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A620E0" w:rsidRDefault="00AD363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A620E0" w:rsidRDefault="00AD363A">
      <w:r>
        <w:rPr>
          <w:rFonts w:ascii="Times New Roman" w:eastAsia="Times New Roman" w:hAnsi="Times New Roman" w:cs="Times New Roman"/>
          <w:sz w:val="16"/>
          <w:szCs w:val="16"/>
        </w:rPr>
        <w:t xml:space="preserve">Документ подписан электронной подписью.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р(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Дубинкина Елена Валентиновна, Сертификат: 1099E2D6AF2091BB152304D244F604C5, Действителен: с 10.12.2024 по 05.03.2026),Руководитель(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Дербенев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Александр Петрович, Сертификат: 52C8924D7DDCB363F6FB35DC1F3D7100, Действителен: с 20.06.2024 по 13</w:t>
      </w:r>
      <w:r>
        <w:rPr>
          <w:rFonts w:ascii="Times New Roman" w:eastAsia="Times New Roman" w:hAnsi="Times New Roman" w:cs="Times New Roman"/>
          <w:sz w:val="16"/>
          <w:szCs w:val="16"/>
        </w:rPr>
        <w:t>.09.2025),Руководитель финансово-экономической службы(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Аветисян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Кристина Маратовна, Сертификат: 3A1A3B2FF29208932C87F6C123769637, Действителен: с 14.10.2024 по 07.01.2026) </w:t>
      </w:r>
    </w:p>
    <w:sectPr w:rsidR="00A620E0" w:rsidSect="00A620E0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620E0"/>
    <w:rsid w:val="00A620E0"/>
    <w:rsid w:val="00AD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2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A620E0"/>
  </w:style>
  <w:style w:type="character" w:styleId="a3">
    <w:name w:val="Hyperlink"/>
    <w:rsid w:val="00A620E0"/>
    <w:rPr>
      <w:color w:val="0000FF"/>
      <w:u w:val="single"/>
    </w:rPr>
  </w:style>
  <w:style w:type="table" w:styleId="1">
    <w:name w:val="Table Simple 1"/>
    <w:basedOn w:val="a1"/>
    <w:rsid w:val="00A620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372&amp;dst=100212&amp;field=134&amp;date=07.07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7442&amp;dst=254&amp;field=134&amp;date=07.07.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28.128.22.11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28.128.22.118/" TargetMode="External"/><Relationship Id="rId10" Type="http://schemas.openxmlformats.org/officeDocument/2006/relationships/image" Target="media/image2.png"/><Relationship Id="rId4" Type="http://schemas.openxmlformats.org/officeDocument/2006/relationships/hyperlink" Target="http://128.128.22.118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3958</Words>
  <Characters>22563</Characters>
  <Application>Microsoft Office Word</Application>
  <DocSecurity>0</DocSecurity>
  <Lines>188</Lines>
  <Paragraphs>52</Paragraphs>
  <ScaleCrop>false</ScaleCrop>
  <Company>RePack by SPecialiST</Company>
  <LinksUpToDate>false</LinksUpToDate>
  <CharactersWithSpaces>26469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Дубинкина Елена Валентиновна</dc:creator>
  <cp:lastModifiedBy>Дубинкина</cp:lastModifiedBy>
  <cp:revision>2</cp:revision>
  <dcterms:created xsi:type="dcterms:W3CDTF">2025-02-24T12:46:00Z</dcterms:created>
  <dcterms:modified xsi:type="dcterms:W3CDTF">2025-02-24T12:46:00Z</dcterms:modified>
</cp:coreProperties>
</file>